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D78" w:rsidRDefault="00D52858">
      <w:r w:rsidRPr="00D52858">
        <w:t>Human menopausal gonadotropin (HMG) in protocoalele simple si mixte din fertilizarea in vitro</w:t>
      </w:r>
    </w:p>
    <w:p w:rsidR="00D52858" w:rsidRPr="00853787" w:rsidRDefault="00D52858">
      <w:r>
        <w:t>Dragos Albu</w:t>
      </w:r>
      <w:r>
        <w:rPr>
          <w:vertAlign w:val="superscript"/>
        </w:rPr>
        <w:t>1,2</w:t>
      </w:r>
      <w:r>
        <w:t>, Alice Albu</w:t>
      </w:r>
      <w:r>
        <w:rPr>
          <w:vertAlign w:val="superscript"/>
        </w:rPr>
        <w:t>1,3</w:t>
      </w:r>
    </w:p>
    <w:p w:rsidR="00D52858" w:rsidRDefault="00D52858">
      <w:r>
        <w:rPr>
          <w:vertAlign w:val="superscript"/>
        </w:rPr>
        <w:t xml:space="preserve">1 </w:t>
      </w:r>
      <w:r>
        <w:t>UMF „Carol Davila”, Bucuresti</w:t>
      </w:r>
    </w:p>
    <w:p w:rsidR="00D52858" w:rsidRDefault="00D52858">
      <w:r>
        <w:rPr>
          <w:vertAlign w:val="superscript"/>
        </w:rPr>
        <w:t xml:space="preserve">2 </w:t>
      </w:r>
      <w:r>
        <w:t>MedLife, Bucuresti</w:t>
      </w:r>
    </w:p>
    <w:p w:rsidR="00D52858" w:rsidRDefault="00D52858" w:rsidP="00D52858">
      <w:r>
        <w:rPr>
          <w:vertAlign w:val="superscript"/>
        </w:rPr>
        <w:t xml:space="preserve">3 </w:t>
      </w:r>
      <w:r>
        <w:t>Elias Hospital</w:t>
      </w:r>
    </w:p>
    <w:p w:rsidR="00D52858" w:rsidRDefault="00D52858" w:rsidP="00D52858"/>
    <w:p w:rsidR="00D52858" w:rsidRDefault="00D52858" w:rsidP="00D52858">
      <w:r>
        <w:t>Objective: to evaluate the role of HMG (human menopausal gonadotrophin) administration in simple and mixt protocols in IVF (in vitro fertilization) outcome.</w:t>
      </w:r>
    </w:p>
    <w:p w:rsidR="00D52858" w:rsidRDefault="00D52858" w:rsidP="00D52858">
      <w:r>
        <w:t>Design: we performed a retrospective study which included 912 female patients with infertility who underwent IVF between January 2013 – December 2015. Patients were divided in three groups: group 1: only HMG, group 2</w:t>
      </w:r>
      <w:r>
        <w:t> HMG in association with recombinant Follitropinum (rFSH) beta, group 3: HMG in association with recombinant Follitropinum (rFSH) alpha.</w:t>
      </w:r>
    </w:p>
    <w:p w:rsidR="00D52858" w:rsidRDefault="00D52858" w:rsidP="00D52858">
      <w:r>
        <w:t>Results</w:t>
      </w:r>
    </w:p>
    <w:p w:rsidR="00D52858" w:rsidRDefault="00D52858" w:rsidP="00D52858">
      <w:r>
        <w:t xml:space="preserve"> Patients in group 2 were older, had lower anti-müllerian hormone (AMH) levels and had lower number of oocytes retrieved and of embryos obtained, lower clinical pregnancies rate. Group 1 had higher AMH levels and obtained a higher oocytes number. The isolated HMG administration was independently associated with a higher oocytes number after adjustment for age and AMH (p</w:t>
      </w:r>
      <w:r>
        <w:t xml:space="preserve">0.0001), but not with the embryos number. In group 1 the HMG dose was independently associated with a higher biochemical pregnancy rate after adjustment for age, AMH, oocytes and embryos number (p=0.042). In group 2 and 3 the number of oocytes (r=0.285, p=0.001in group 2) and embryos (r=0.257, p=0.002 in group 2) obtained were positively correlated with the HMG/rFSH (beta or alpha) ratio. </w:t>
      </w:r>
    </w:p>
    <w:p w:rsidR="00D52858" w:rsidRDefault="00D52858" w:rsidP="00D52858">
      <w:r>
        <w:t>Conclusions</w:t>
      </w:r>
    </w:p>
    <w:p w:rsidR="00D52858" w:rsidRDefault="00D52858" w:rsidP="00D52858">
      <w:r>
        <w:t xml:space="preserve">The isolated HMG administration or the predominance of HMG in a mixt protocol with rFSH alpha or beta for in vitro fertilization is associated with a higher number of oocytes which in turn is an independent determinant of the embryos number and of the clinical pregnancy rate. </w:t>
      </w:r>
    </w:p>
    <w:p w:rsidR="00D52858" w:rsidRDefault="00D52858"/>
    <w:sectPr w:rsidR="00D52858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savePreviewPicture/>
  <w:compat/>
  <w:rsids>
    <w:rsidRoot w:val="00D52858"/>
    <w:rsid w:val="00172815"/>
    <w:rsid w:val="00206D8F"/>
    <w:rsid w:val="002358FA"/>
    <w:rsid w:val="00291FEF"/>
    <w:rsid w:val="0036114D"/>
    <w:rsid w:val="00421ECB"/>
    <w:rsid w:val="0070372B"/>
    <w:rsid w:val="007417E4"/>
    <w:rsid w:val="00853787"/>
    <w:rsid w:val="008E0D2C"/>
    <w:rsid w:val="009558D2"/>
    <w:rsid w:val="00A400C1"/>
    <w:rsid w:val="00AD23FC"/>
    <w:rsid w:val="00D51A90"/>
    <w:rsid w:val="00D52858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3</cp:revision>
  <dcterms:created xsi:type="dcterms:W3CDTF">2016-10-11T13:46:00Z</dcterms:created>
  <dcterms:modified xsi:type="dcterms:W3CDTF">2016-10-11T14:09:00Z</dcterms:modified>
</cp:coreProperties>
</file>